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455" w:rsidRPr="00E3215C" w:rsidRDefault="00EB1455" w:rsidP="00B565EA">
      <w:pPr>
        <w:jc w:val="both"/>
        <w:rPr>
          <w:rFonts w:asciiTheme="majorBidi" w:hAnsiTheme="majorBidi" w:cstheme="majorBidi"/>
          <w:b/>
          <w:sz w:val="24"/>
          <w:szCs w:val="24"/>
        </w:rPr>
      </w:pPr>
      <w:r w:rsidRPr="00E3215C">
        <w:rPr>
          <w:rFonts w:asciiTheme="majorBidi" w:hAnsiTheme="majorBidi" w:cstheme="majorBidi"/>
          <w:b/>
          <w:sz w:val="24"/>
          <w:szCs w:val="24"/>
        </w:rPr>
        <w:t xml:space="preserve">Supplemental </w:t>
      </w:r>
      <w:r w:rsidR="00B565EA">
        <w:rPr>
          <w:rFonts w:asciiTheme="majorBidi" w:hAnsiTheme="majorBidi" w:cstheme="majorBidi"/>
          <w:b/>
          <w:sz w:val="24"/>
          <w:szCs w:val="24"/>
        </w:rPr>
        <w:t>F</w:t>
      </w:r>
      <w:bookmarkStart w:id="0" w:name="_GoBack"/>
      <w:bookmarkEnd w:id="0"/>
      <w:r w:rsidR="00B565EA">
        <w:rPr>
          <w:rFonts w:asciiTheme="majorBidi" w:hAnsiTheme="majorBidi" w:cstheme="majorBidi"/>
          <w:b/>
          <w:sz w:val="24"/>
          <w:szCs w:val="24"/>
        </w:rPr>
        <w:t>igures caption</w:t>
      </w:r>
    </w:p>
    <w:p w:rsidR="00EB1455" w:rsidRDefault="00EB1455" w:rsidP="00EB1455">
      <w:pPr>
        <w:spacing w:line="240" w:lineRule="auto"/>
        <w:jc w:val="both"/>
        <w:rPr>
          <w:rFonts w:asciiTheme="majorBidi" w:hAnsiTheme="majorBidi" w:cstheme="majorBidi"/>
          <w:sz w:val="24"/>
          <w:szCs w:val="24"/>
        </w:rPr>
      </w:pPr>
      <w:r w:rsidRPr="00DD620B">
        <w:rPr>
          <w:rFonts w:asciiTheme="majorBidi" w:hAnsiTheme="majorBidi" w:cstheme="majorBidi"/>
          <w:b/>
          <w:bCs/>
          <w:sz w:val="24"/>
          <w:szCs w:val="24"/>
        </w:rPr>
        <w:t>Figure S1.</w:t>
      </w:r>
      <w:r w:rsidRPr="00DD620B">
        <w:rPr>
          <w:rFonts w:asciiTheme="majorBidi" w:hAnsiTheme="majorBidi" w:cstheme="majorBidi"/>
          <w:sz w:val="24"/>
          <w:szCs w:val="24"/>
        </w:rPr>
        <w:t xml:space="preserve"> Individual-based expression for all 29 discovered genes after six days of treatment. Salinity treatment symbols are SW, BW, and FW for seawater, brackish, and freshwater groups. Temperature treatment symbols are 10, 14, and 18 °C groups. Dissolved oxygen treatment symbols are N for </w:t>
      </w:r>
      <w:proofErr w:type="spellStart"/>
      <w:r w:rsidRPr="00DD620B">
        <w:rPr>
          <w:rFonts w:asciiTheme="majorBidi" w:hAnsiTheme="majorBidi" w:cstheme="majorBidi"/>
          <w:sz w:val="24"/>
          <w:szCs w:val="24"/>
        </w:rPr>
        <w:t>normoxia</w:t>
      </w:r>
      <w:proofErr w:type="spellEnd"/>
      <w:r w:rsidRPr="00DD620B">
        <w:rPr>
          <w:rFonts w:asciiTheme="majorBidi" w:hAnsiTheme="majorBidi" w:cstheme="majorBidi"/>
          <w:sz w:val="24"/>
          <w:szCs w:val="24"/>
        </w:rPr>
        <w:t xml:space="preserve"> and H for hypoxia groups</w:t>
      </w:r>
      <w:r>
        <w:rPr>
          <w:rFonts w:asciiTheme="majorBidi" w:hAnsiTheme="majorBidi" w:cstheme="majorBidi"/>
          <w:sz w:val="24"/>
          <w:szCs w:val="24"/>
        </w:rPr>
        <w:t>.</w:t>
      </w:r>
    </w:p>
    <w:p w:rsidR="00EB1455" w:rsidRDefault="00EB1455" w:rsidP="00EB1455">
      <w:pPr>
        <w:spacing w:after="0" w:line="240" w:lineRule="auto"/>
        <w:jc w:val="both"/>
        <w:rPr>
          <w:rFonts w:asciiTheme="majorBidi" w:hAnsiTheme="majorBidi" w:cstheme="majorBidi"/>
          <w:sz w:val="24"/>
          <w:szCs w:val="24"/>
        </w:rPr>
      </w:pPr>
      <w:r w:rsidRPr="00DD620B">
        <w:rPr>
          <w:rFonts w:asciiTheme="majorBidi" w:hAnsiTheme="majorBidi" w:cstheme="majorBidi"/>
          <w:b/>
          <w:bCs/>
          <w:sz w:val="24"/>
          <w:szCs w:val="24"/>
        </w:rPr>
        <w:t xml:space="preserve">Figure </w:t>
      </w:r>
      <w:r>
        <w:rPr>
          <w:rFonts w:asciiTheme="majorBidi" w:hAnsiTheme="majorBidi" w:cstheme="majorBidi"/>
          <w:b/>
          <w:bCs/>
          <w:sz w:val="24"/>
          <w:szCs w:val="24"/>
        </w:rPr>
        <w:t>S2</w:t>
      </w:r>
      <w:r w:rsidRPr="00DD620B">
        <w:rPr>
          <w:rFonts w:asciiTheme="majorBidi" w:hAnsiTheme="majorBidi" w:cstheme="majorBidi"/>
          <w:b/>
          <w:bCs/>
          <w:sz w:val="24"/>
          <w:szCs w:val="24"/>
        </w:rPr>
        <w:t>.</w:t>
      </w:r>
      <w:r w:rsidRPr="00DD620B">
        <w:rPr>
          <w:rFonts w:asciiTheme="majorBidi" w:hAnsiTheme="majorBidi" w:cstheme="majorBidi"/>
          <w:sz w:val="24"/>
          <w:szCs w:val="24"/>
        </w:rPr>
        <w:t xml:space="preserve"> Canonical plots of the first two principal components using 4</w:t>
      </w:r>
      <w:r w:rsidRPr="00DD620B">
        <w:rPr>
          <w:rFonts w:asciiTheme="majorBidi" w:hAnsiTheme="majorBidi" w:cstheme="majorBidi"/>
          <w:sz w:val="24"/>
          <w:szCs w:val="24"/>
          <w:shd w:val="clear" w:color="auto" w:fill="FFFFFF"/>
        </w:rPr>
        <w:t xml:space="preserve">, 11 and 6 </w:t>
      </w:r>
      <w:r w:rsidRPr="00DD620B">
        <w:rPr>
          <w:rStyle w:val="apple-converted-space"/>
          <w:rFonts w:asciiTheme="majorBidi" w:hAnsiTheme="majorBidi" w:cstheme="majorBidi"/>
          <w:sz w:val="24"/>
          <w:szCs w:val="24"/>
          <w:shd w:val="clear" w:color="auto" w:fill="FFFFFF"/>
        </w:rPr>
        <w:t>hypoxia biomarkers returned by the Shrunken Centroid</w:t>
      </w:r>
      <w:r w:rsidRPr="00DD620B">
        <w:rPr>
          <w:rFonts w:asciiTheme="majorBidi" w:hAnsiTheme="majorBidi" w:cstheme="majorBidi"/>
          <w:sz w:val="24"/>
          <w:szCs w:val="24"/>
        </w:rPr>
        <w:t xml:space="preserve"> method </w:t>
      </w:r>
      <w:r w:rsidRPr="00DD620B">
        <w:rPr>
          <w:rStyle w:val="apple-converted-space"/>
          <w:rFonts w:asciiTheme="majorBidi" w:hAnsiTheme="majorBidi" w:cstheme="majorBidi"/>
          <w:sz w:val="24"/>
          <w:szCs w:val="24"/>
          <w:shd w:val="clear" w:color="auto" w:fill="FFFFFF"/>
        </w:rPr>
        <w:t>for pre-</w:t>
      </w:r>
      <w:proofErr w:type="spellStart"/>
      <w:r w:rsidRPr="00DD620B">
        <w:rPr>
          <w:rStyle w:val="apple-converted-space"/>
          <w:rFonts w:asciiTheme="majorBidi" w:hAnsiTheme="majorBidi" w:cstheme="majorBidi"/>
          <w:sz w:val="24"/>
          <w:szCs w:val="24"/>
          <w:shd w:val="clear" w:color="auto" w:fill="FFFFFF"/>
        </w:rPr>
        <w:t>smolt</w:t>
      </w:r>
      <w:proofErr w:type="spellEnd"/>
      <w:r w:rsidRPr="00DD620B">
        <w:rPr>
          <w:rStyle w:val="apple-converted-space"/>
          <w:rFonts w:asciiTheme="majorBidi" w:hAnsiTheme="majorBidi" w:cstheme="majorBidi"/>
          <w:sz w:val="24"/>
          <w:szCs w:val="24"/>
          <w:shd w:val="clear" w:color="auto" w:fill="FFFFFF"/>
        </w:rPr>
        <w:t xml:space="preserve"> fish in panels (a) freshwater</w:t>
      </w:r>
      <w:r w:rsidRPr="00DD620B">
        <w:rPr>
          <w:rFonts w:asciiTheme="majorBidi" w:hAnsiTheme="majorBidi" w:cstheme="majorBidi"/>
          <w:sz w:val="24"/>
          <w:szCs w:val="24"/>
        </w:rPr>
        <w:t xml:space="preserve"> (FW), (b) brackish water (BW), and (c) seawater (SW), respectively. Temperature treatment symbols are 10, 14, and 18 °C groups. Principal component analysis was performed on the training set (left panel) and then applied to the testing set (right panel). Centroids are represented by the largest point of the same colour. Arrows represent loading vectors of the biomarkers using the training set. </w:t>
      </w:r>
    </w:p>
    <w:p w:rsidR="00EB1455" w:rsidRPr="00DD620B" w:rsidRDefault="00EB1455" w:rsidP="00EB1455">
      <w:pPr>
        <w:spacing w:after="0" w:line="240" w:lineRule="auto"/>
        <w:jc w:val="both"/>
        <w:rPr>
          <w:rFonts w:asciiTheme="majorBidi" w:hAnsiTheme="majorBidi" w:cstheme="majorBidi"/>
          <w:sz w:val="24"/>
          <w:szCs w:val="24"/>
        </w:rPr>
      </w:pPr>
    </w:p>
    <w:p w:rsidR="00EB1455" w:rsidRDefault="00EB1455" w:rsidP="00EB1455">
      <w:pPr>
        <w:spacing w:after="0" w:line="240" w:lineRule="auto"/>
        <w:jc w:val="both"/>
        <w:rPr>
          <w:rFonts w:asciiTheme="majorBidi" w:hAnsiTheme="majorBidi" w:cstheme="majorBidi"/>
          <w:sz w:val="24"/>
          <w:szCs w:val="24"/>
        </w:rPr>
      </w:pPr>
      <w:r w:rsidRPr="00DD620B">
        <w:rPr>
          <w:rFonts w:asciiTheme="majorBidi" w:hAnsiTheme="majorBidi" w:cstheme="majorBidi"/>
          <w:b/>
          <w:bCs/>
          <w:sz w:val="24"/>
          <w:szCs w:val="24"/>
        </w:rPr>
        <w:t xml:space="preserve">Figure </w:t>
      </w:r>
      <w:r>
        <w:rPr>
          <w:rFonts w:asciiTheme="majorBidi" w:hAnsiTheme="majorBidi" w:cstheme="majorBidi"/>
          <w:b/>
          <w:bCs/>
          <w:sz w:val="24"/>
          <w:szCs w:val="24"/>
        </w:rPr>
        <w:t>S3</w:t>
      </w:r>
      <w:r w:rsidRPr="00DD620B">
        <w:rPr>
          <w:rFonts w:asciiTheme="majorBidi" w:hAnsiTheme="majorBidi" w:cstheme="majorBidi"/>
          <w:b/>
          <w:bCs/>
          <w:sz w:val="24"/>
          <w:szCs w:val="24"/>
        </w:rPr>
        <w:t>.</w:t>
      </w:r>
      <w:r w:rsidRPr="00DD620B">
        <w:rPr>
          <w:rFonts w:asciiTheme="majorBidi" w:hAnsiTheme="majorBidi" w:cstheme="majorBidi"/>
          <w:sz w:val="24"/>
          <w:szCs w:val="24"/>
        </w:rPr>
        <w:t xml:space="preserve"> Canonical plots of the first two principal components using 9</w:t>
      </w:r>
      <w:r w:rsidRPr="00DD620B">
        <w:rPr>
          <w:rFonts w:asciiTheme="majorBidi" w:hAnsiTheme="majorBidi" w:cstheme="majorBidi"/>
          <w:sz w:val="24"/>
          <w:szCs w:val="24"/>
          <w:shd w:val="clear" w:color="auto" w:fill="FFFFFF"/>
        </w:rPr>
        <w:t xml:space="preserve">, 4 and 5 </w:t>
      </w:r>
      <w:r w:rsidRPr="00DD620B">
        <w:rPr>
          <w:rStyle w:val="apple-converted-space"/>
          <w:rFonts w:asciiTheme="majorBidi" w:hAnsiTheme="majorBidi" w:cstheme="majorBidi"/>
          <w:sz w:val="24"/>
          <w:szCs w:val="24"/>
          <w:shd w:val="clear" w:color="auto" w:fill="FFFFFF"/>
        </w:rPr>
        <w:t>hypoxia biomarkers returned by the Shrunken Centroid</w:t>
      </w:r>
      <w:r w:rsidRPr="00DD620B">
        <w:rPr>
          <w:rFonts w:asciiTheme="majorBidi" w:hAnsiTheme="majorBidi" w:cstheme="majorBidi"/>
          <w:sz w:val="24"/>
          <w:szCs w:val="24"/>
        </w:rPr>
        <w:t xml:space="preserve"> method</w:t>
      </w:r>
      <w:r w:rsidRPr="00DD620B">
        <w:rPr>
          <w:rStyle w:val="apple-converted-space"/>
          <w:rFonts w:asciiTheme="majorBidi" w:hAnsiTheme="majorBidi" w:cstheme="majorBidi"/>
          <w:sz w:val="24"/>
          <w:szCs w:val="24"/>
          <w:shd w:val="clear" w:color="auto" w:fill="FFFFFF"/>
        </w:rPr>
        <w:t xml:space="preserve"> for </w:t>
      </w:r>
      <w:proofErr w:type="spellStart"/>
      <w:r w:rsidRPr="00DD620B">
        <w:rPr>
          <w:rStyle w:val="apple-converted-space"/>
          <w:rFonts w:asciiTheme="majorBidi" w:hAnsiTheme="majorBidi" w:cstheme="majorBidi"/>
          <w:sz w:val="24"/>
          <w:szCs w:val="24"/>
          <w:shd w:val="clear" w:color="auto" w:fill="FFFFFF"/>
        </w:rPr>
        <w:t>smolt</w:t>
      </w:r>
      <w:proofErr w:type="spellEnd"/>
      <w:r w:rsidRPr="00DD620B">
        <w:rPr>
          <w:rStyle w:val="apple-converted-space"/>
          <w:rFonts w:asciiTheme="majorBidi" w:hAnsiTheme="majorBidi" w:cstheme="majorBidi"/>
          <w:sz w:val="24"/>
          <w:szCs w:val="24"/>
          <w:shd w:val="clear" w:color="auto" w:fill="FFFFFF"/>
        </w:rPr>
        <w:t xml:space="preserve"> fish in panels (a) freshwater</w:t>
      </w:r>
      <w:r w:rsidRPr="00DD620B">
        <w:rPr>
          <w:rFonts w:asciiTheme="majorBidi" w:hAnsiTheme="majorBidi" w:cstheme="majorBidi"/>
          <w:sz w:val="24"/>
          <w:szCs w:val="24"/>
        </w:rPr>
        <w:t xml:space="preserve"> (FW), (b) brackish water (BW), and (c) seawater (SW), respectively. Temperature treatment symbols are 10, 14, and 18 °C groups. Principal component analysis was performed on the training set (left panel) and then applied to the testing set (right panel). Centroids are represented by the largest point of the same colour. Arrows represent loading vectors of the biomarkers using the training set. </w:t>
      </w:r>
    </w:p>
    <w:p w:rsidR="00EB1455" w:rsidRPr="00DD620B" w:rsidRDefault="00EB1455" w:rsidP="00EB1455">
      <w:pPr>
        <w:spacing w:after="0" w:line="240" w:lineRule="auto"/>
        <w:jc w:val="both"/>
        <w:rPr>
          <w:rFonts w:asciiTheme="majorBidi" w:hAnsiTheme="majorBidi" w:cstheme="majorBidi"/>
          <w:iCs/>
          <w:sz w:val="24"/>
          <w:szCs w:val="24"/>
        </w:rPr>
      </w:pPr>
    </w:p>
    <w:p w:rsidR="00EB1455" w:rsidRDefault="00EB1455" w:rsidP="00EB1455">
      <w:pPr>
        <w:spacing w:after="0" w:line="240" w:lineRule="auto"/>
        <w:jc w:val="both"/>
        <w:rPr>
          <w:rFonts w:asciiTheme="majorBidi" w:hAnsiTheme="majorBidi" w:cstheme="majorBidi"/>
          <w:sz w:val="24"/>
          <w:szCs w:val="24"/>
        </w:rPr>
      </w:pPr>
      <w:r w:rsidRPr="00DD620B">
        <w:rPr>
          <w:rFonts w:asciiTheme="majorBidi" w:hAnsiTheme="majorBidi" w:cstheme="majorBidi"/>
          <w:b/>
          <w:bCs/>
          <w:sz w:val="24"/>
          <w:szCs w:val="24"/>
        </w:rPr>
        <w:t xml:space="preserve">Figure </w:t>
      </w:r>
      <w:r>
        <w:rPr>
          <w:rFonts w:asciiTheme="majorBidi" w:hAnsiTheme="majorBidi" w:cstheme="majorBidi"/>
          <w:b/>
          <w:bCs/>
          <w:sz w:val="24"/>
          <w:szCs w:val="24"/>
        </w:rPr>
        <w:t>S4</w:t>
      </w:r>
      <w:r w:rsidRPr="00DD620B">
        <w:rPr>
          <w:rFonts w:asciiTheme="majorBidi" w:hAnsiTheme="majorBidi" w:cstheme="majorBidi"/>
          <w:b/>
          <w:bCs/>
          <w:sz w:val="24"/>
          <w:szCs w:val="24"/>
        </w:rPr>
        <w:t>.</w:t>
      </w:r>
      <w:r w:rsidRPr="00DD620B">
        <w:rPr>
          <w:rFonts w:asciiTheme="majorBidi" w:hAnsiTheme="majorBidi" w:cstheme="majorBidi"/>
          <w:sz w:val="24"/>
          <w:szCs w:val="24"/>
        </w:rPr>
        <w:t xml:space="preserve"> Canonical plots of the first two principal components using 6</w:t>
      </w:r>
      <w:r w:rsidRPr="00DD620B">
        <w:rPr>
          <w:rFonts w:asciiTheme="majorBidi" w:hAnsiTheme="majorBidi" w:cstheme="majorBidi"/>
          <w:sz w:val="24"/>
          <w:szCs w:val="24"/>
          <w:shd w:val="clear" w:color="auto" w:fill="FFFFFF"/>
        </w:rPr>
        <w:t xml:space="preserve">, 3 and 15 </w:t>
      </w:r>
      <w:r w:rsidRPr="00DD620B">
        <w:rPr>
          <w:rStyle w:val="apple-converted-space"/>
          <w:rFonts w:asciiTheme="majorBidi" w:hAnsiTheme="majorBidi" w:cstheme="majorBidi"/>
          <w:sz w:val="24"/>
          <w:szCs w:val="24"/>
          <w:shd w:val="clear" w:color="auto" w:fill="FFFFFF"/>
        </w:rPr>
        <w:t>hypoxia biomarkers returned by the Shrunken Centroid</w:t>
      </w:r>
      <w:r w:rsidRPr="00DD620B">
        <w:rPr>
          <w:rFonts w:asciiTheme="majorBidi" w:hAnsiTheme="majorBidi" w:cstheme="majorBidi"/>
          <w:sz w:val="24"/>
          <w:szCs w:val="24"/>
        </w:rPr>
        <w:t xml:space="preserve"> method</w:t>
      </w:r>
      <w:r w:rsidRPr="00DD620B">
        <w:rPr>
          <w:rStyle w:val="apple-converted-space"/>
          <w:rFonts w:asciiTheme="majorBidi" w:hAnsiTheme="majorBidi" w:cstheme="majorBidi"/>
          <w:sz w:val="24"/>
          <w:szCs w:val="24"/>
          <w:shd w:val="clear" w:color="auto" w:fill="FFFFFF"/>
        </w:rPr>
        <w:t xml:space="preserve"> for de-</w:t>
      </w:r>
      <w:proofErr w:type="spellStart"/>
      <w:r w:rsidRPr="00DD620B">
        <w:rPr>
          <w:rStyle w:val="apple-converted-space"/>
          <w:rFonts w:asciiTheme="majorBidi" w:hAnsiTheme="majorBidi" w:cstheme="majorBidi"/>
          <w:sz w:val="24"/>
          <w:szCs w:val="24"/>
          <w:shd w:val="clear" w:color="auto" w:fill="FFFFFF"/>
        </w:rPr>
        <w:t>smolt</w:t>
      </w:r>
      <w:proofErr w:type="spellEnd"/>
      <w:r w:rsidRPr="00DD620B">
        <w:rPr>
          <w:rStyle w:val="apple-converted-space"/>
          <w:rFonts w:asciiTheme="majorBidi" w:hAnsiTheme="majorBidi" w:cstheme="majorBidi"/>
          <w:sz w:val="24"/>
          <w:szCs w:val="24"/>
          <w:shd w:val="clear" w:color="auto" w:fill="FFFFFF"/>
        </w:rPr>
        <w:t xml:space="preserve"> fish in panels (a) freshwater</w:t>
      </w:r>
      <w:r w:rsidRPr="00DD620B">
        <w:rPr>
          <w:rFonts w:asciiTheme="majorBidi" w:hAnsiTheme="majorBidi" w:cstheme="majorBidi"/>
          <w:sz w:val="24"/>
          <w:szCs w:val="24"/>
        </w:rPr>
        <w:t xml:space="preserve"> (FW), (b) brackish water (BW), and (c) seawater (SW), respectively. Temperature treatment symbols are 10, 14, and 18 °C groups. Principal component analysis was performed on the training set (left panel) and then applied to the testing set (right panel). Centroids are represented by the largest point of the same colour. Arrows represent loading vectors of the biomarkers using the training set. </w:t>
      </w:r>
    </w:p>
    <w:p w:rsidR="00EB1455" w:rsidRPr="00DD620B" w:rsidRDefault="00EB1455" w:rsidP="00EB1455">
      <w:pPr>
        <w:spacing w:after="0" w:line="240" w:lineRule="auto"/>
        <w:jc w:val="both"/>
        <w:rPr>
          <w:rFonts w:asciiTheme="majorBidi" w:hAnsiTheme="majorBidi" w:cstheme="majorBidi"/>
          <w:sz w:val="24"/>
          <w:szCs w:val="24"/>
        </w:rPr>
      </w:pPr>
    </w:p>
    <w:p w:rsidR="00EB1455" w:rsidRPr="00DD620B" w:rsidRDefault="00EB1455" w:rsidP="00EB1455">
      <w:pPr>
        <w:spacing w:after="0" w:line="240" w:lineRule="auto"/>
        <w:jc w:val="both"/>
        <w:rPr>
          <w:rFonts w:asciiTheme="majorBidi" w:hAnsiTheme="majorBidi" w:cstheme="majorBidi"/>
          <w:iCs/>
          <w:sz w:val="24"/>
          <w:szCs w:val="24"/>
        </w:rPr>
      </w:pPr>
      <w:r w:rsidRPr="00DD620B">
        <w:rPr>
          <w:rFonts w:asciiTheme="majorBidi" w:hAnsiTheme="majorBidi" w:cstheme="majorBidi"/>
          <w:b/>
          <w:bCs/>
          <w:sz w:val="24"/>
          <w:szCs w:val="24"/>
        </w:rPr>
        <w:t xml:space="preserve">Figure </w:t>
      </w:r>
      <w:r>
        <w:rPr>
          <w:rFonts w:asciiTheme="majorBidi" w:hAnsiTheme="majorBidi" w:cstheme="majorBidi"/>
          <w:b/>
          <w:bCs/>
          <w:sz w:val="24"/>
          <w:szCs w:val="24"/>
        </w:rPr>
        <w:t>S5</w:t>
      </w:r>
      <w:r w:rsidRPr="00DD620B">
        <w:rPr>
          <w:rFonts w:asciiTheme="majorBidi" w:hAnsiTheme="majorBidi" w:cstheme="majorBidi"/>
          <w:b/>
          <w:bCs/>
          <w:sz w:val="24"/>
          <w:szCs w:val="24"/>
        </w:rPr>
        <w:t>.</w:t>
      </w:r>
      <w:r w:rsidRPr="00DD620B">
        <w:rPr>
          <w:rFonts w:asciiTheme="majorBidi" w:hAnsiTheme="majorBidi" w:cstheme="majorBidi"/>
          <w:sz w:val="24"/>
          <w:szCs w:val="24"/>
        </w:rPr>
        <w:t xml:space="preserve"> Canonical plots of the first two principal components using 4</w:t>
      </w:r>
      <w:r w:rsidRPr="00DD620B">
        <w:rPr>
          <w:rFonts w:asciiTheme="majorBidi" w:hAnsiTheme="majorBidi" w:cstheme="majorBidi"/>
          <w:sz w:val="24"/>
          <w:szCs w:val="24"/>
          <w:shd w:val="clear" w:color="auto" w:fill="FFFFFF"/>
        </w:rPr>
        <w:t xml:space="preserve"> and 14 </w:t>
      </w:r>
      <w:r w:rsidRPr="00DD620B">
        <w:rPr>
          <w:rStyle w:val="apple-converted-space"/>
          <w:rFonts w:asciiTheme="majorBidi" w:hAnsiTheme="majorBidi" w:cstheme="majorBidi"/>
          <w:sz w:val="24"/>
          <w:szCs w:val="24"/>
          <w:shd w:val="clear" w:color="auto" w:fill="FFFFFF"/>
        </w:rPr>
        <w:t>hypoxia biomarkers returned by the Shrunken Centroid</w:t>
      </w:r>
      <w:r w:rsidRPr="00DD620B">
        <w:rPr>
          <w:rFonts w:asciiTheme="majorBidi" w:hAnsiTheme="majorBidi" w:cstheme="majorBidi"/>
          <w:sz w:val="24"/>
          <w:szCs w:val="24"/>
        </w:rPr>
        <w:t xml:space="preserve"> method</w:t>
      </w:r>
      <w:r w:rsidRPr="00DD620B">
        <w:rPr>
          <w:rStyle w:val="apple-converted-space"/>
          <w:rFonts w:asciiTheme="majorBidi" w:hAnsiTheme="majorBidi" w:cstheme="majorBidi"/>
          <w:sz w:val="24"/>
          <w:szCs w:val="24"/>
          <w:shd w:val="clear" w:color="auto" w:fill="FFFFFF"/>
        </w:rPr>
        <w:t xml:space="preserve"> for distressed </w:t>
      </w:r>
      <w:r w:rsidRPr="00DD620B">
        <w:rPr>
          <w:rFonts w:asciiTheme="majorBidi" w:hAnsiTheme="majorBidi" w:cstheme="majorBidi"/>
          <w:sz w:val="24"/>
          <w:szCs w:val="24"/>
        </w:rPr>
        <w:t>(moribund/recently dead)</w:t>
      </w:r>
      <w:r w:rsidRPr="00DD620B">
        <w:rPr>
          <w:rStyle w:val="apple-converted-space"/>
          <w:rFonts w:asciiTheme="majorBidi" w:hAnsiTheme="majorBidi" w:cstheme="majorBidi"/>
          <w:sz w:val="24"/>
          <w:szCs w:val="24"/>
          <w:shd w:val="clear" w:color="auto" w:fill="FFFFFF"/>
        </w:rPr>
        <w:t xml:space="preserve"> fish in panels (a) freshwater</w:t>
      </w:r>
      <w:r w:rsidRPr="00DD620B">
        <w:rPr>
          <w:rFonts w:asciiTheme="majorBidi" w:hAnsiTheme="majorBidi" w:cstheme="majorBidi"/>
          <w:sz w:val="24"/>
          <w:szCs w:val="24"/>
        </w:rPr>
        <w:t xml:space="preserve"> (FW) and (b) seawater (SW), respectively. Temperature treatment symbols are 10, 14, and 18 °C groups. Principal component analysis was performed on the training set (left panel) and then applied to the testing set (right panel). Centroids are represented by the largest point of the same colour. Arrows represent loading vectors of the biomarkers using the training set.</w:t>
      </w:r>
    </w:p>
    <w:p w:rsidR="00EB1455" w:rsidRDefault="00EB1455" w:rsidP="00EB1455">
      <w:pPr>
        <w:rPr>
          <w:lang w:val="en-US"/>
        </w:rPr>
      </w:pPr>
    </w:p>
    <w:p w:rsidR="00EB1455" w:rsidRDefault="00EB1455" w:rsidP="00EB1455">
      <w:pPr>
        <w:rPr>
          <w:lang w:val="en-US"/>
        </w:rPr>
      </w:pPr>
    </w:p>
    <w:p w:rsidR="00FC69FE" w:rsidRDefault="00B565EA"/>
    <w:sectPr w:rsidR="00FC69F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1455"/>
    <w:rsid w:val="00321F37"/>
    <w:rsid w:val="0035506F"/>
    <w:rsid w:val="00B565EA"/>
    <w:rsid w:val="00EB1455"/>
  </w:rsids>
  <m:mathPr>
    <m:mathFont m:val="Cambria Math"/>
    <m:brkBin m:val="before"/>
    <m:brkBinSub m:val="--"/>
    <m:smallFrac m:val="0"/>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498A65-9F6E-4884-BFDA-9BF803443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145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EB14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402</Words>
  <Characters>2292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arash</dc:creator>
  <cp:keywords/>
  <dc:description/>
  <cp:lastModifiedBy>arash</cp:lastModifiedBy>
  <cp:revision>2</cp:revision>
  <dcterms:created xsi:type="dcterms:W3CDTF">2020-07-13T23:47:00Z</dcterms:created>
  <dcterms:modified xsi:type="dcterms:W3CDTF">2020-07-13T23:47:00Z</dcterms:modified>
</cp:coreProperties>
</file>